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年度</w:t>
      </w:r>
      <w:r>
        <w:rPr>
          <w:rFonts w:hint="eastAsia" w:eastAsia="方正小标宋简体"/>
          <w:sz w:val="44"/>
          <w:szCs w:val="44"/>
        </w:rPr>
        <w:t>中</w:t>
      </w:r>
      <w:r>
        <w:rPr>
          <w:rFonts w:eastAsia="方正小标宋简体"/>
          <w:sz w:val="44"/>
          <w:szCs w:val="44"/>
        </w:rPr>
        <w:t>共益阳市委组织部</w:t>
      </w:r>
    </w:p>
    <w:p>
      <w:pPr>
        <w:spacing w:line="7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整体支出绩效自评报告</w:t>
      </w:r>
    </w:p>
    <w:p>
      <w:pPr>
        <w:spacing w:line="560" w:lineRule="exact"/>
        <w:rPr>
          <w:rFonts w:ascii="仿宋" w:hAnsi="仿宋" w:eastAsia="仿宋"/>
          <w:sz w:val="36"/>
          <w:szCs w:val="36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为了加强财政资金绩效管理，提高资金使用效益，根据《益阳市财政局关于开展202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年度部门绩效自评工作的通知》文件精神，我部认真组织开展了202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年度部门整体支出绩效自评工作。现将有关情况报告如下：</w:t>
      </w:r>
    </w:p>
    <w:p>
      <w:pPr>
        <w:pStyle w:val="11"/>
        <w:numPr>
          <w:ilvl w:val="0"/>
          <w:numId w:val="1"/>
        </w:numPr>
        <w:ind w:firstLineChars="0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单位基本情况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 w:eastAsia="楷体_GB2312"/>
          <w:color w:val="000000"/>
          <w:szCs w:val="32"/>
        </w:rPr>
      </w:pPr>
      <w:r>
        <w:rPr>
          <w:rFonts w:ascii="Times New Roman" w:hAnsi="Times New Roman" w:eastAsia="楷体_GB2312"/>
          <w:color w:val="000000"/>
          <w:szCs w:val="32"/>
        </w:rPr>
        <w:t>（一）组织机构设置情况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中共益阳市委组织部202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年末人员编制数</w:t>
      </w:r>
      <w:r>
        <w:rPr>
          <w:rFonts w:hint="eastAsia" w:ascii="Times New Roman" w:hAnsi="Times New Roman"/>
          <w:szCs w:val="32"/>
          <w:lang w:val="en-US" w:eastAsia="zh-CN"/>
        </w:rPr>
        <w:t>70</w:t>
      </w:r>
      <w:r>
        <w:rPr>
          <w:rFonts w:ascii="Times New Roman" w:hAnsi="Times New Roman"/>
          <w:szCs w:val="32"/>
        </w:rPr>
        <w:t>名，其中，行政编制6</w:t>
      </w:r>
      <w:r>
        <w:rPr>
          <w:rFonts w:hint="eastAsia" w:ascii="Times New Roman" w:hAnsi="Times New Roman"/>
          <w:szCs w:val="32"/>
          <w:lang w:val="en-US" w:eastAsia="zh-CN"/>
        </w:rPr>
        <w:t>0</w:t>
      </w:r>
      <w:r>
        <w:rPr>
          <w:rFonts w:ascii="Times New Roman" w:hAnsi="Times New Roman"/>
          <w:szCs w:val="32"/>
        </w:rPr>
        <w:t>名（含行政工勤编制2名），参公事业编制4名，事业编制</w:t>
      </w:r>
      <w:r>
        <w:rPr>
          <w:rFonts w:hint="eastAsia" w:ascii="Times New Roman" w:hAnsi="Times New Roman"/>
          <w:szCs w:val="32"/>
          <w:lang w:val="en-US" w:eastAsia="zh-CN"/>
        </w:rPr>
        <w:t>6</w:t>
      </w:r>
      <w:r>
        <w:rPr>
          <w:rFonts w:ascii="Times New Roman" w:hAnsi="Times New Roman"/>
          <w:szCs w:val="32"/>
        </w:rPr>
        <w:t>名；年末在职人员实有人数</w:t>
      </w:r>
      <w:r>
        <w:rPr>
          <w:rFonts w:hint="eastAsia" w:ascii="Times New Roman" w:hAnsi="Times New Roman"/>
          <w:szCs w:val="32"/>
          <w:lang w:val="en-US" w:eastAsia="zh-CN"/>
        </w:rPr>
        <w:t>60</w:t>
      </w:r>
      <w:r>
        <w:rPr>
          <w:rFonts w:ascii="Times New Roman" w:hAnsi="Times New Roman"/>
          <w:szCs w:val="32"/>
        </w:rPr>
        <w:t>人。</w:t>
      </w:r>
    </w:p>
    <w:p>
      <w:pPr>
        <w:snapToGrid w:val="0"/>
        <w:spacing w:line="520" w:lineRule="exact"/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市纪委监委驻部纪检监察组4人相关经费在市委组织部列支。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中共益阳市委组织部202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年末有退休人员10人。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中共益阳市委组织部202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年末车辆编制2辆，实有车辆2辆。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纳入本部门202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年度部门决算编报的单位共1个，市委组织部为党委部门，执行政府会计准则制度，属于一级预算单位。</w:t>
      </w:r>
    </w:p>
    <w:p>
      <w:pPr>
        <w:snapToGrid w:val="0"/>
        <w:spacing w:line="520" w:lineRule="exact"/>
        <w:ind w:firstLine="480" w:firstLineChars="150"/>
        <w:rPr>
          <w:rFonts w:ascii="Times New Roman" w:hAnsi="Times New Roman" w:eastAsia="楷体_GB2312"/>
          <w:color w:val="000000"/>
          <w:szCs w:val="32"/>
        </w:rPr>
      </w:pPr>
      <w:r>
        <w:rPr>
          <w:rFonts w:ascii="Times New Roman" w:hAnsi="黑体" w:eastAsia="黑体"/>
          <w:szCs w:val="32"/>
        </w:rPr>
        <w:t>（二）</w:t>
      </w:r>
      <w:r>
        <w:rPr>
          <w:rFonts w:ascii="Times New Roman" w:hAnsi="Times New Roman" w:eastAsia="楷体_GB2312"/>
          <w:color w:val="000000"/>
          <w:szCs w:val="32"/>
        </w:rPr>
        <w:t>单位的职能职责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1、严格执行党的干部路线、方针、政策，负责全市干部队伍建设的宏观管理，拟订或参与拟订组织、干部、人事工作的政策、规定、制度。负责全市党的建设制度改革工作的规划研究、部署和组织实施。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、负责干部队伍建设的规划和指导工作。研究拟订加强全市干部队伍建设整体规划和工作措施。负责对市委管理的领导班子进行考察了解，向市委提出调整配备的意见建议；负责办理市委管理干部的考察、任免、工资、待遇、出国（境）、退休审批手续；协同机构编制部门拟订副处级以上领导职数设置方案；负责区县（市）和市直单位科级干部选拔任用备案事项；承办市委委托管理干部的调配、交流及安置；负责援疆（藏）干部、人才工作；负责规划、部署、组织实施年轻干部、妇女干部、少数民族干部、党外干部的培养、选拔、任用工作。指导区县（市）和市直处级单位领导班子政治建设；负责做好中央、省属驻益单位干部双重管理有关工作。负责省、市人大代表和政协委员推荐提名工作。负责市、县法官和检察官单独职务序列等级晋升有关工作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3、执行公务员管理政策和法律法规。负责公务员职务与职级并行制度的组织实施。负责公务员和参照公务员法管理单位参公人员的考试录用、考核、奖惩、工资管理、能力建设等工作。指导实施公务员调任、转任、挂职政策；执行公务员职位分类标准和管理办法。负责公务员信息统计管理工作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4、负责干部监督工作的宏观指导，负责对党政领导干部选拔任用工作进行监督检查；对反映的有关重要问题进行调查了解和督办。负责其他历史遗留问题的审理工作。组织实施市委选人用人巡察工作，协助做好市委巡察工作。负责领导干部个人有关事项报告、领导干部任期经济责任审计等工作；综合指导全市组织人事部门开展提醒、函询和诫勉工作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5、负责全市干部教育培训的宏观管理，制定全市干部教育工作规划，协调、指导、检查各区县（市）及市直有关部门的干部教育培训工作。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6、负责全市干部信息、人事档案、干部统计工作的宏观指导；负责全市组织系统信息网络建设。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7、负责全市人才工作和人才队伍建设的宏观管理和指导；研究拟订人才工作有关政策；协调落实专项重点人才工作；协调实施高层次人才培养工程。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8、研究指导党组织建设工作。制定落实加强党的工作制度、党内生活制度的规定和意见；对各领域党的基层组织建设进行分类指导，对各级各类党组织设立进行指导审核；指导各级党委健全党代表大会制度，指导党代表大会代表选举、管理和联络服务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9、研究指导党员队伍建设工作。主管党员发展和管理工作，指导全市党员教育培训；指导区县（市）和市直正处级及以上单位党员领导干部民主生活会；负责全市党费收缴、管理和使用工作；指导开展党内表彰奖励、关怀帮扶等工作；负责全市党组织和党员队伍信息化建设及党内统计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10、负责全市非公有制经济组织和社会组织党的建设工作。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11、承担市委党建工作领导小组日常工作，综合协调有关部门统筹推进基层党建工作，健全和落实基层党建工作责任制，负责基层党建述职评议；协调有关部门指导发展壮大村级（社区）集体经济。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12、统筹协调全市绩效评估管理工作，拟订绩效评估方案并组织实施，综合掌握工作动态。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13、负责组织工作的综合协调、督促检查和调查研究；指导下级组织部门开展工作，及时向市委和省委组织部报告工作；负责来信来访工作。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14、完成市委交办的其他任务。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二、一般公共预算支出情况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（一）基本支出情况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基本支出是指用于保障机构正常运转、完成日常工作任务而发生的各项支出，包括在职和退休人员基本工资、津贴补贴等人员经费以及办公费、</w:t>
      </w:r>
      <w:r>
        <w:rPr>
          <w:rFonts w:hint="eastAsia" w:ascii="Times New Roman" w:hAnsi="Times New Roman"/>
          <w:szCs w:val="32"/>
          <w:lang w:val="en-US" w:eastAsia="zh-CN"/>
        </w:rPr>
        <w:t>印刷费、</w:t>
      </w:r>
      <w:r>
        <w:rPr>
          <w:rFonts w:ascii="Times New Roman" w:hAnsi="Times New Roman"/>
          <w:szCs w:val="32"/>
        </w:rPr>
        <w:t>水电费、</w:t>
      </w:r>
      <w:r>
        <w:rPr>
          <w:rFonts w:hint="eastAsia" w:ascii="Times New Roman" w:hAnsi="Times New Roman"/>
          <w:szCs w:val="32"/>
          <w:lang w:val="en-US" w:eastAsia="zh-CN"/>
        </w:rPr>
        <w:t>邮电费、</w:t>
      </w:r>
      <w:r>
        <w:rPr>
          <w:rFonts w:ascii="Times New Roman" w:hAnsi="Times New Roman"/>
          <w:szCs w:val="32"/>
        </w:rPr>
        <w:t>物业管理费、差旅费、维修（护）费、培训费、劳务费、工会经费、福利费、公务用车运行维护费、其他交通费用、其他商品和服务支出、办公设备购置等日常公用经费。202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年基本支出</w:t>
      </w:r>
      <w:r>
        <w:rPr>
          <w:rFonts w:hint="eastAsia" w:ascii="Times New Roman" w:hAnsi="Times New Roman"/>
          <w:szCs w:val="32"/>
          <w:lang w:val="en-US" w:eastAsia="zh-CN"/>
        </w:rPr>
        <w:t>1434.04</w:t>
      </w:r>
      <w:r>
        <w:rPr>
          <w:rFonts w:ascii="Times New Roman" w:hAnsi="Times New Roman"/>
          <w:szCs w:val="32"/>
        </w:rPr>
        <w:t>万元，较上年</w:t>
      </w:r>
      <w:r>
        <w:rPr>
          <w:rFonts w:hint="eastAsia" w:ascii="Times New Roman" w:hAnsi="Times New Roman"/>
          <w:szCs w:val="32"/>
          <w:lang w:val="en-US" w:eastAsia="zh-CN"/>
        </w:rPr>
        <w:t>同期的1265.74万元</w:t>
      </w:r>
      <w:r>
        <w:rPr>
          <w:rFonts w:ascii="Times New Roman" w:hAnsi="Times New Roman"/>
          <w:szCs w:val="32"/>
        </w:rPr>
        <w:t>增加16</w:t>
      </w:r>
      <w:r>
        <w:rPr>
          <w:rFonts w:hint="eastAsia" w:ascii="Times New Roman" w:hAnsi="Times New Roman"/>
          <w:szCs w:val="32"/>
          <w:lang w:val="en-US" w:eastAsia="zh-CN"/>
        </w:rPr>
        <w:t>8</w:t>
      </w:r>
      <w:r>
        <w:rPr>
          <w:rFonts w:ascii="Times New Roman" w:hAnsi="Times New Roman"/>
          <w:szCs w:val="32"/>
        </w:rPr>
        <w:t>.</w:t>
      </w:r>
      <w:r>
        <w:rPr>
          <w:rFonts w:hint="eastAsia" w:ascii="Times New Roman" w:hAnsi="Times New Roman"/>
          <w:szCs w:val="32"/>
          <w:lang w:val="en-US" w:eastAsia="zh-CN"/>
        </w:rPr>
        <w:t>30</w:t>
      </w:r>
      <w:r>
        <w:rPr>
          <w:rFonts w:ascii="Times New Roman" w:hAnsi="Times New Roman"/>
          <w:szCs w:val="32"/>
        </w:rPr>
        <w:t>万元，增长</w:t>
      </w:r>
      <w:r>
        <w:rPr>
          <w:rFonts w:hint="eastAsia" w:ascii="Times New Roman" w:hAnsi="Times New Roman"/>
          <w:szCs w:val="32"/>
          <w:lang w:val="en-US" w:eastAsia="zh-CN"/>
        </w:rPr>
        <w:t>13.30</w:t>
      </w:r>
      <w:r>
        <w:rPr>
          <w:rFonts w:ascii="Times New Roman" w:hAnsi="Times New Roman"/>
          <w:szCs w:val="32"/>
        </w:rPr>
        <w:t>%。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基本支出中人员经费</w:t>
      </w:r>
      <w:r>
        <w:rPr>
          <w:rFonts w:hint="eastAsia" w:ascii="Times New Roman" w:hAnsi="Times New Roman"/>
          <w:szCs w:val="32"/>
          <w:lang w:val="en-US" w:eastAsia="zh-CN"/>
        </w:rPr>
        <w:t>1242.94</w:t>
      </w:r>
      <w:r>
        <w:rPr>
          <w:rFonts w:ascii="Times New Roman" w:hAnsi="Times New Roman"/>
          <w:szCs w:val="32"/>
        </w:rPr>
        <w:t>万元，占基本支出8</w:t>
      </w:r>
      <w:r>
        <w:rPr>
          <w:rFonts w:hint="eastAsia" w:ascii="Times New Roman" w:hAnsi="Times New Roman"/>
          <w:szCs w:val="32"/>
          <w:lang w:val="en-US" w:eastAsia="zh-CN"/>
        </w:rPr>
        <w:t>6</w:t>
      </w:r>
      <w:r>
        <w:rPr>
          <w:rFonts w:ascii="Times New Roman" w:hAnsi="Times New Roman"/>
          <w:szCs w:val="32"/>
        </w:rPr>
        <w:t>.</w:t>
      </w:r>
      <w:r>
        <w:rPr>
          <w:rFonts w:hint="eastAsia" w:ascii="Times New Roman" w:hAnsi="Times New Roman"/>
          <w:szCs w:val="32"/>
          <w:lang w:val="en-US" w:eastAsia="zh-CN"/>
        </w:rPr>
        <w:t>6</w:t>
      </w:r>
      <w:r>
        <w:rPr>
          <w:rFonts w:ascii="Times New Roman" w:hAnsi="Times New Roman"/>
          <w:szCs w:val="32"/>
        </w:rPr>
        <w:t>7%，较上年</w:t>
      </w:r>
      <w:r>
        <w:rPr>
          <w:rFonts w:hint="eastAsia" w:ascii="Times New Roman" w:hAnsi="Times New Roman"/>
          <w:szCs w:val="32"/>
          <w:lang w:val="en-US" w:eastAsia="zh-CN"/>
        </w:rPr>
        <w:t>同期的1016.06万元</w:t>
      </w:r>
      <w:r>
        <w:rPr>
          <w:rFonts w:ascii="Times New Roman" w:hAnsi="Times New Roman"/>
          <w:szCs w:val="32"/>
        </w:rPr>
        <w:t>增长</w:t>
      </w:r>
      <w:r>
        <w:rPr>
          <w:rFonts w:hint="eastAsia" w:ascii="Times New Roman" w:hAnsi="Times New Roman"/>
          <w:szCs w:val="32"/>
          <w:lang w:val="en-US" w:eastAsia="zh-CN"/>
        </w:rPr>
        <w:t>226.88</w:t>
      </w:r>
      <w:r>
        <w:rPr>
          <w:rFonts w:ascii="Times New Roman" w:hAnsi="Times New Roman"/>
          <w:szCs w:val="32"/>
        </w:rPr>
        <w:t>万元，增长</w:t>
      </w:r>
      <w:r>
        <w:rPr>
          <w:rFonts w:hint="eastAsia" w:ascii="Times New Roman" w:hAnsi="Times New Roman"/>
          <w:szCs w:val="32"/>
          <w:lang w:val="en-US" w:eastAsia="zh-CN"/>
        </w:rPr>
        <w:t>22.33</w:t>
      </w:r>
      <w:r>
        <w:rPr>
          <w:rFonts w:ascii="Times New Roman" w:hAnsi="Times New Roman"/>
          <w:szCs w:val="32"/>
        </w:rPr>
        <w:t>%，主要原因是</w:t>
      </w:r>
      <w:r>
        <w:rPr>
          <w:rFonts w:hint="eastAsia" w:ascii="Times New Roman" w:hAnsi="Times New Roman"/>
          <w:szCs w:val="32"/>
          <w:lang w:val="en-US" w:eastAsia="zh-CN"/>
        </w:rPr>
        <w:t>2022</w:t>
      </w:r>
      <w:r>
        <w:rPr>
          <w:rFonts w:hint="eastAsia" w:eastAsia="仿宋_GB2312"/>
          <w:color w:val="000000"/>
          <w:sz w:val="32"/>
          <w:szCs w:val="32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支付</w:t>
      </w:r>
      <w:r>
        <w:rPr>
          <w:rFonts w:hint="eastAsia" w:eastAsia="仿宋_GB2312"/>
          <w:color w:val="000000"/>
          <w:sz w:val="32"/>
          <w:szCs w:val="32"/>
        </w:rPr>
        <w:t>了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本年度和上年度</w:t>
      </w:r>
      <w:r>
        <w:rPr>
          <w:rFonts w:hint="eastAsia" w:eastAsia="仿宋_GB2312"/>
          <w:color w:val="000000"/>
          <w:sz w:val="32"/>
          <w:szCs w:val="32"/>
        </w:rPr>
        <w:t>的人员基础绩效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以及工资普调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支出</w:t>
      </w:r>
      <w:r>
        <w:rPr>
          <w:rFonts w:ascii="Times New Roman" w:hAnsi="Times New Roman"/>
          <w:szCs w:val="32"/>
        </w:rPr>
        <w:t>。公用经费支出</w:t>
      </w:r>
      <w:r>
        <w:rPr>
          <w:rFonts w:hint="eastAsia" w:ascii="Times New Roman" w:hAnsi="Times New Roman"/>
          <w:szCs w:val="32"/>
          <w:lang w:val="en-US" w:eastAsia="zh-CN"/>
        </w:rPr>
        <w:t>191.10</w:t>
      </w:r>
      <w:r>
        <w:rPr>
          <w:rFonts w:ascii="Times New Roman" w:hAnsi="Times New Roman"/>
          <w:szCs w:val="32"/>
        </w:rPr>
        <w:t>万元，占基本支出</w:t>
      </w:r>
      <w:r>
        <w:rPr>
          <w:rFonts w:hint="eastAsia" w:ascii="Times New Roman" w:hAnsi="Times New Roman"/>
          <w:szCs w:val="32"/>
          <w:lang w:val="en-US" w:eastAsia="zh-CN"/>
        </w:rPr>
        <w:t>13.3</w:t>
      </w:r>
      <w:r>
        <w:rPr>
          <w:rFonts w:ascii="Times New Roman" w:hAnsi="Times New Roman"/>
          <w:szCs w:val="32"/>
        </w:rPr>
        <w:t>3%，较上年</w:t>
      </w:r>
      <w:r>
        <w:rPr>
          <w:rFonts w:hint="eastAsia" w:ascii="Times New Roman" w:hAnsi="Times New Roman"/>
          <w:szCs w:val="32"/>
          <w:lang w:val="en-US" w:eastAsia="zh-CN"/>
        </w:rPr>
        <w:t>同期的249.68万元减少58.58</w:t>
      </w:r>
      <w:r>
        <w:rPr>
          <w:rFonts w:ascii="Times New Roman" w:hAnsi="Times New Roman"/>
          <w:szCs w:val="32"/>
        </w:rPr>
        <w:t>万元，</w:t>
      </w:r>
      <w:r>
        <w:rPr>
          <w:rFonts w:hint="eastAsia" w:ascii="Times New Roman" w:hAnsi="Times New Roman"/>
          <w:szCs w:val="32"/>
          <w:lang w:val="en-US" w:eastAsia="zh-CN"/>
        </w:rPr>
        <w:t>下降23.46</w:t>
      </w:r>
      <w:r>
        <w:rPr>
          <w:rFonts w:ascii="Times New Roman" w:hAnsi="Times New Roman"/>
          <w:szCs w:val="32"/>
        </w:rPr>
        <w:t>%，主要原因是</w:t>
      </w:r>
      <w:r>
        <w:rPr>
          <w:rFonts w:hint="eastAsia" w:ascii="Times New Roman" w:hAnsi="Times New Roman"/>
          <w:szCs w:val="32"/>
          <w:lang w:val="en-US" w:eastAsia="zh-CN"/>
        </w:rPr>
        <w:t>2022</w:t>
      </w:r>
      <w:r>
        <w:rPr>
          <w:rFonts w:hint="eastAsia" w:eastAsia="仿宋_GB2312"/>
          <w:color w:val="000000"/>
          <w:sz w:val="32"/>
          <w:szCs w:val="32"/>
          <w:lang w:val="en-US" w:eastAsia="zh-CN"/>
        </w:rPr>
        <w:t>年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比上年度</w:t>
      </w:r>
      <w:r>
        <w:rPr>
          <w:rFonts w:hint="eastAsia" w:eastAsia="仿宋_GB2312"/>
          <w:color w:val="000000"/>
          <w:sz w:val="32"/>
          <w:szCs w:val="32"/>
        </w:rPr>
        <w:t>减少了办公电脑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及打印机的</w:t>
      </w:r>
      <w:r>
        <w:rPr>
          <w:rFonts w:hint="eastAsia" w:eastAsia="仿宋_GB2312"/>
          <w:color w:val="000000"/>
          <w:sz w:val="32"/>
          <w:szCs w:val="32"/>
        </w:rPr>
        <w:t>购置</w:t>
      </w:r>
      <w:r>
        <w:rPr>
          <w:rFonts w:ascii="Times New Roman" w:hAnsi="Times New Roman"/>
          <w:szCs w:val="32"/>
        </w:rPr>
        <w:t>。</w:t>
      </w:r>
    </w:p>
    <w:p>
      <w:pPr>
        <w:widowControl/>
        <w:spacing w:line="600" w:lineRule="exact"/>
        <w:ind w:firstLine="480" w:firstLineChars="150"/>
        <w:rPr>
          <w:rFonts w:ascii="Times New Roman" w:hAnsi="Times New Roman" w:eastAsia="楷体_GB2312"/>
          <w:szCs w:val="32"/>
        </w:rPr>
      </w:pPr>
      <w:r>
        <w:rPr>
          <w:rFonts w:ascii="Times New Roman" w:hAnsi="Times New Roman" w:eastAsia="楷体_GB2312"/>
          <w:szCs w:val="32"/>
        </w:rPr>
        <w:t>（二）项目支出情况</w:t>
      </w:r>
    </w:p>
    <w:p>
      <w:pPr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项目支出是指为完成组工业务相关专项经费，主要用于干部工作、党建工作、公务员考录、干教工作、党代表联络及视察工作、干部监督工作、驻村帮扶工作</w:t>
      </w:r>
      <w:r>
        <w:rPr>
          <w:rFonts w:hint="eastAsia" w:ascii="Times New Roman" w:hAnsi="Times New Roman"/>
          <w:szCs w:val="32"/>
          <w:lang w:eastAsia="zh-CN"/>
        </w:rPr>
        <w:t>、派驻部纪检组工作、市人才发展专项</w:t>
      </w:r>
      <w:r>
        <w:rPr>
          <w:rFonts w:hint="eastAsia" w:ascii="Times New Roman" w:hAnsi="Times New Roman"/>
          <w:szCs w:val="32"/>
          <w:lang w:val="en-US" w:eastAsia="zh-CN"/>
        </w:rPr>
        <w:t>工作、“大组工网”风险评估整改工作</w:t>
      </w:r>
      <w:r>
        <w:rPr>
          <w:rFonts w:ascii="Times New Roman" w:hAnsi="Times New Roman"/>
          <w:szCs w:val="32"/>
        </w:rPr>
        <w:t>等方面。202</w:t>
      </w:r>
      <w:r>
        <w:rPr>
          <w:rFonts w:hint="eastAsia" w:ascii="Times New Roman" w:hAnsi="Times New Roman"/>
          <w:szCs w:val="32"/>
          <w:lang w:val="en-US" w:eastAsia="zh-CN"/>
        </w:rPr>
        <w:t>2</w:t>
      </w:r>
      <w:r>
        <w:rPr>
          <w:rFonts w:ascii="Times New Roman" w:hAnsi="Times New Roman"/>
          <w:szCs w:val="32"/>
        </w:rPr>
        <w:t>年项目支出</w:t>
      </w:r>
      <w:r>
        <w:rPr>
          <w:rFonts w:hint="eastAsia" w:ascii="Times New Roman" w:hAnsi="Times New Roman"/>
          <w:szCs w:val="32"/>
          <w:lang w:val="en-US" w:eastAsia="zh-CN"/>
        </w:rPr>
        <w:t>447.55</w:t>
      </w:r>
      <w:r>
        <w:rPr>
          <w:rFonts w:ascii="Times New Roman" w:hAnsi="Times New Roman"/>
          <w:szCs w:val="32"/>
        </w:rPr>
        <w:t>万元，比上年</w:t>
      </w:r>
      <w:r>
        <w:rPr>
          <w:rFonts w:hint="eastAsia" w:ascii="Times New Roman" w:hAnsi="Times New Roman"/>
          <w:szCs w:val="32"/>
          <w:lang w:val="en-US" w:eastAsia="zh-CN"/>
        </w:rPr>
        <w:t>同期的</w:t>
      </w:r>
      <w:r>
        <w:rPr>
          <w:rFonts w:ascii="Times New Roman" w:hAnsi="Times New Roman"/>
          <w:szCs w:val="32"/>
        </w:rPr>
        <w:t>655.69减少</w:t>
      </w:r>
      <w:r>
        <w:rPr>
          <w:rFonts w:hint="eastAsia" w:ascii="Times New Roman" w:hAnsi="Times New Roman"/>
          <w:szCs w:val="32"/>
          <w:lang w:val="en-US" w:eastAsia="zh-CN"/>
        </w:rPr>
        <w:t>208.14</w:t>
      </w:r>
      <w:r>
        <w:rPr>
          <w:rFonts w:ascii="Times New Roman" w:hAnsi="Times New Roman"/>
          <w:szCs w:val="32"/>
        </w:rPr>
        <w:t>万元，下降</w:t>
      </w:r>
      <w:r>
        <w:rPr>
          <w:rFonts w:hint="eastAsia" w:ascii="Times New Roman" w:hAnsi="Times New Roman"/>
          <w:szCs w:val="32"/>
          <w:lang w:val="en-US" w:eastAsia="zh-CN"/>
        </w:rPr>
        <w:t>31.74</w:t>
      </w:r>
      <w:r>
        <w:rPr>
          <w:rFonts w:ascii="Times New Roman" w:hAnsi="Times New Roman"/>
          <w:szCs w:val="32"/>
        </w:rPr>
        <w:t>%，主要原因</w:t>
      </w:r>
      <w:r>
        <w:rPr>
          <w:rFonts w:hint="eastAsia" w:ascii="Times New Roman" w:hAnsi="Times New Roman"/>
          <w:szCs w:val="32"/>
          <w:lang w:eastAsia="zh-CN"/>
        </w:rPr>
        <w:t>：</w:t>
      </w:r>
      <w:r>
        <w:rPr>
          <w:rFonts w:hint="eastAsia" w:ascii="Times New Roman" w:hAnsi="Times New Roman"/>
          <w:szCs w:val="32"/>
          <w:lang w:val="en-US" w:eastAsia="zh-CN"/>
        </w:rPr>
        <w:t>一</w:t>
      </w:r>
      <w:r>
        <w:rPr>
          <w:rFonts w:ascii="Times New Roman" w:hAnsi="Times New Roman"/>
          <w:szCs w:val="32"/>
        </w:rPr>
        <w:t>是</w:t>
      </w:r>
      <w:r>
        <w:rPr>
          <w:rFonts w:hint="eastAsia" w:ascii="Times New Roman" w:hAnsi="Times New Roman"/>
          <w:szCs w:val="32"/>
          <w:lang w:val="en-US" w:eastAsia="zh-CN"/>
        </w:rPr>
        <w:t>2022年度无上年度的</w:t>
      </w:r>
      <w:r>
        <w:rPr>
          <w:rFonts w:ascii="Times New Roman" w:hAnsi="Times New Roman"/>
          <w:szCs w:val="32"/>
        </w:rPr>
        <w:t>市县乡党组织换届及村级换届工作专项</w:t>
      </w:r>
      <w:r>
        <w:rPr>
          <w:rFonts w:hint="eastAsia" w:ascii="Times New Roman" w:hAnsi="Times New Roman"/>
          <w:szCs w:val="32"/>
          <w:lang w:val="en-US" w:eastAsia="zh-CN"/>
        </w:rPr>
        <w:t>经费支出</w:t>
      </w:r>
      <w:r>
        <w:rPr>
          <w:rFonts w:ascii="Times New Roman" w:hAnsi="Times New Roman"/>
          <w:szCs w:val="32"/>
        </w:rPr>
        <w:t>、换届工作</w:t>
      </w:r>
      <w:r>
        <w:rPr>
          <w:rFonts w:hint="eastAsia" w:ascii="Times New Roman" w:hAnsi="Times New Roman"/>
          <w:szCs w:val="32"/>
          <w:lang w:eastAsia="zh-CN"/>
        </w:rPr>
        <w:t>（含市七次党代会）</w:t>
      </w:r>
      <w:r>
        <w:rPr>
          <w:rFonts w:ascii="Times New Roman" w:hAnsi="Times New Roman"/>
          <w:szCs w:val="32"/>
        </w:rPr>
        <w:t>经费</w:t>
      </w:r>
      <w:r>
        <w:rPr>
          <w:rFonts w:hint="eastAsia" w:ascii="Times New Roman" w:hAnsi="Times New Roman"/>
          <w:szCs w:val="32"/>
          <w:lang w:val="en-US" w:eastAsia="zh-CN"/>
        </w:rPr>
        <w:t>支出</w:t>
      </w:r>
      <w:r>
        <w:rPr>
          <w:rFonts w:ascii="Times New Roman" w:hAnsi="Times New Roman"/>
          <w:szCs w:val="32"/>
        </w:rPr>
        <w:t>、全市“两优一先”表彰大会经费和个人表彰奖励</w:t>
      </w:r>
      <w:r>
        <w:rPr>
          <w:rFonts w:hint="eastAsia" w:ascii="Times New Roman" w:hAnsi="Times New Roman"/>
          <w:szCs w:val="32"/>
          <w:lang w:eastAsia="zh-CN"/>
        </w:rPr>
        <w:t>等</w:t>
      </w:r>
      <w:r>
        <w:rPr>
          <w:rFonts w:ascii="Times New Roman" w:hAnsi="Times New Roman"/>
          <w:szCs w:val="32"/>
        </w:rPr>
        <w:t>项目</w:t>
      </w:r>
      <w:r>
        <w:rPr>
          <w:rFonts w:hint="eastAsia" w:ascii="Times New Roman" w:hAnsi="Times New Roman"/>
          <w:szCs w:val="32"/>
          <w:lang w:val="en-US" w:eastAsia="zh-CN"/>
        </w:rPr>
        <w:t>经费</w:t>
      </w:r>
      <w:r>
        <w:rPr>
          <w:rFonts w:ascii="Times New Roman" w:hAnsi="Times New Roman"/>
          <w:szCs w:val="32"/>
        </w:rPr>
        <w:t>支出</w:t>
      </w:r>
      <w:r>
        <w:rPr>
          <w:rFonts w:hint="eastAsia" w:ascii="Times New Roman" w:hAnsi="Times New Roman"/>
          <w:szCs w:val="32"/>
          <w:lang w:val="en-US" w:eastAsia="zh-CN"/>
        </w:rPr>
        <w:t>；二是2022</w:t>
      </w:r>
      <w:r>
        <w:rPr>
          <w:rFonts w:hint="eastAsia" w:ascii="Times New Roman" w:hAnsi="Times New Roman"/>
          <w:szCs w:val="32"/>
          <w:lang w:eastAsia="zh-CN"/>
        </w:rPr>
        <w:t>年底新冠疫情的爆发影响了本</w:t>
      </w:r>
      <w:r>
        <w:rPr>
          <w:rFonts w:hint="eastAsia" w:ascii="Times New Roman" w:hAnsi="Times New Roman"/>
          <w:szCs w:val="32"/>
          <w:lang w:val="en-US" w:eastAsia="zh-CN"/>
        </w:rPr>
        <w:t>年度</w:t>
      </w:r>
      <w:r>
        <w:rPr>
          <w:rFonts w:hint="eastAsia" w:ascii="Times New Roman" w:hAnsi="Times New Roman"/>
          <w:szCs w:val="32"/>
          <w:lang w:eastAsia="zh-CN"/>
        </w:rPr>
        <w:t>公务员考录集中面试经费的及时支付</w:t>
      </w:r>
      <w:r>
        <w:rPr>
          <w:rFonts w:ascii="Times New Roman" w:hAnsi="Times New Roman"/>
          <w:szCs w:val="32"/>
        </w:rPr>
        <w:t>。</w:t>
      </w:r>
    </w:p>
    <w:p>
      <w:pPr>
        <w:pStyle w:val="11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政府性基金预算支出情况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202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2</w:t>
      </w:r>
      <w:r>
        <w:rPr>
          <w:rFonts w:ascii="Times New Roman" w:hAnsi="Times New Roman"/>
          <w:color w:val="000000"/>
          <w:szCs w:val="32"/>
        </w:rPr>
        <w:t>年无政府性基金预算支出。</w:t>
      </w:r>
    </w:p>
    <w:p>
      <w:pPr>
        <w:pStyle w:val="11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国有资本经营预算支出情况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202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2</w:t>
      </w:r>
      <w:r>
        <w:rPr>
          <w:rFonts w:ascii="Times New Roman" w:hAnsi="Times New Roman"/>
          <w:color w:val="000000"/>
          <w:szCs w:val="32"/>
        </w:rPr>
        <w:t>年无国有资本经营预算支出。</w:t>
      </w:r>
    </w:p>
    <w:p>
      <w:pPr>
        <w:pStyle w:val="11"/>
        <w:widowControl/>
        <w:numPr>
          <w:ilvl w:val="0"/>
          <w:numId w:val="2"/>
        </w:numPr>
        <w:spacing w:line="600" w:lineRule="exact"/>
        <w:ind w:firstLineChars="0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社会保险基金预算支出情况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202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2</w:t>
      </w:r>
      <w:r>
        <w:rPr>
          <w:rFonts w:ascii="Times New Roman" w:hAnsi="Times New Roman"/>
          <w:color w:val="000000"/>
          <w:szCs w:val="32"/>
        </w:rPr>
        <w:t>年无社会保险基金预算支出。</w:t>
      </w:r>
    </w:p>
    <w:p>
      <w:pPr>
        <w:widowControl/>
        <w:spacing w:line="600" w:lineRule="exact"/>
        <w:ind w:firstLine="645"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六、部门整体支出绩效情况</w:t>
      </w:r>
    </w:p>
    <w:p>
      <w:pPr>
        <w:pStyle w:val="6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（一）部门整体支出概况</w:t>
      </w:r>
    </w:p>
    <w:p>
      <w:pPr>
        <w:pStyle w:val="6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年部门决算收支完成情况如下：</w:t>
      </w:r>
    </w:p>
    <w:p>
      <w:pPr>
        <w:pStyle w:val="6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1、年初结转和结余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2.65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万元，主要是一般行政管理事务结转和结余。</w:t>
      </w:r>
    </w:p>
    <w:p>
      <w:pPr>
        <w:pStyle w:val="6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2、总收入：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1878.94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万元。其中一般公共预算财政拨款收入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1878.94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万元，为总收入的100%。</w:t>
      </w:r>
    </w:p>
    <w:p>
      <w:pPr>
        <w:pStyle w:val="6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3、总支出：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1881.59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万元，预算执行率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%。</w:t>
      </w:r>
    </w:p>
    <w:p>
      <w:pPr>
        <w:pStyle w:val="6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4、本年度年末结转和结余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万元。</w:t>
      </w:r>
    </w:p>
    <w:p>
      <w:pPr>
        <w:pStyle w:val="6"/>
        <w:spacing w:before="0" w:beforeAutospacing="0" w:after="0" w:afterAutospacing="0" w:line="560" w:lineRule="atLeast"/>
        <w:ind w:firstLine="64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（二）整体支出绩效目标</w:t>
      </w:r>
    </w:p>
    <w:p>
      <w:pPr>
        <w:pStyle w:val="6"/>
        <w:spacing w:before="0" w:beforeAutospacing="0" w:after="0" w:afterAutospacing="0" w:line="560" w:lineRule="atLeast"/>
        <w:ind w:firstLine="643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预决算公开：按照《预算法》和财政部门的相关规定，我部在市财政局网站及益阳党建网进行了预决算公开。</w:t>
      </w:r>
    </w:p>
    <w:p>
      <w:pPr>
        <w:pStyle w:val="6"/>
        <w:spacing w:before="0" w:beforeAutospacing="0" w:after="0" w:afterAutospacing="0" w:line="560" w:lineRule="atLeast"/>
        <w:ind w:firstLine="643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存量资金管理：盘活财政存量资金，提高资金使用效率，结转资金在一年内使用完毕。</w:t>
      </w:r>
    </w:p>
    <w:p>
      <w:pPr>
        <w:pStyle w:val="6"/>
        <w:spacing w:before="0" w:beforeAutospacing="0" w:after="0" w:afterAutospacing="0" w:line="560" w:lineRule="atLeast"/>
        <w:ind w:firstLine="643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资产管理：进一步加强资产管理，明确具体责任人，完善固定资产档案，严格报批、销审等手续，做好资产登记统计工作。</w:t>
      </w:r>
    </w:p>
    <w:p>
      <w:pPr>
        <w:pStyle w:val="6"/>
        <w:spacing w:before="0" w:beforeAutospacing="0" w:after="0" w:afterAutospacing="0" w:line="560" w:lineRule="atLeast"/>
        <w:ind w:firstLine="643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三公经费控制情况：严格控制“三公经费”支出，同时，制定公务派车、差旅费报销、公务接待、工作用餐等规章制度，进一步加强内部管理。“三公”经费支出情况：202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年度决算数为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10.25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万元，与本年预算数一致，比上年度决算数的10.30万元减少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0.05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万元，下降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0.49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%。其中，公务用车购置，本年度决算数为0元，与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本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年预算数一致，上年度决算数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元；公务用车运行维护费，本年度决算数为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8.49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元，与本年预算数一致，比上年度决算数的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7.22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元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增加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1.27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元，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增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长17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59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 xml:space="preserve"> %；公务接待费，本年度决算数为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1.76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元，与本年预算数一致，比上年度决算数的3.08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元减少1.3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万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元，下降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86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%。公务用车运行维护费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eastAsia="zh-CN"/>
        </w:rPr>
        <w:t>增加的原因是：工作量增大，用车频繁，增加了公车使用成本。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公务接待费减少的原因是：本单位树立过“紧日子”思想，坚持厉行节约，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严格按接待要求及标准执行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。本年度公务用车购置0台，公务用车保有量为2台，本年度无因公出国（境）情况，公务接待批次为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次，公务接待人数为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241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人。</w:t>
      </w:r>
    </w:p>
    <w:p>
      <w:pPr>
        <w:pStyle w:val="6"/>
        <w:spacing w:before="0" w:beforeAutospacing="0" w:after="0" w:afterAutospacing="0" w:line="560" w:lineRule="atLeast"/>
        <w:ind w:firstLine="643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内部管理制度建设情况：部机关严格执行《机关运行保障手册》，对于公务派车、公车维修、公务接待、工作用餐、差旅费报销、办公用品购置、电脑耗材采买、专项报账等工作流程进行了明确规定。</w:t>
      </w:r>
    </w:p>
    <w:p>
      <w:pPr>
        <w:pStyle w:val="6"/>
        <w:spacing w:before="0" w:beforeAutospacing="0" w:after="0" w:afterAutospacing="0" w:line="560" w:lineRule="atLeast"/>
        <w:ind w:firstLine="643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可持续发展能力：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全面建设现代化新益阳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提供坚强组织保证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pStyle w:val="6"/>
        <w:spacing w:before="0" w:beforeAutospacing="0" w:after="0" w:afterAutospacing="0" w:line="560" w:lineRule="atLeast"/>
        <w:ind w:firstLine="643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服务对象满意度：群众对单位的满意度为</w:t>
      </w:r>
      <w:r>
        <w:rPr>
          <w:rFonts w:hint="eastAsia" w:ascii="Times New Roman" w:hAnsi="Times New Roman" w:eastAsia="仿宋_GB2312" w:cs="Times New Roman"/>
          <w:color w:val="000000" w:themeColor="text1"/>
          <w:kern w:val="2"/>
          <w:sz w:val="32"/>
          <w:szCs w:val="32"/>
          <w:lang w:val="en-US" w:eastAsia="zh-CN"/>
        </w:rPr>
        <w:t>99.85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%，达到了预期目标。</w:t>
      </w:r>
    </w:p>
    <w:p>
      <w:pPr>
        <w:pStyle w:val="6"/>
        <w:spacing w:before="0" w:beforeAutospacing="0" w:after="0" w:afterAutospacing="0" w:line="560" w:lineRule="atLeast"/>
        <w:ind w:firstLine="480" w:firstLineChars="150"/>
        <w:jc w:val="both"/>
        <w:rPr>
          <w:rFonts w:ascii="Times New Roman" w:hAnsi="Times New Roman" w:eastAsia="楷体_GB2312" w:cs="Times New Roman"/>
          <w:kern w:val="2"/>
          <w:sz w:val="32"/>
          <w:szCs w:val="32"/>
        </w:rPr>
      </w:pPr>
      <w:r>
        <w:rPr>
          <w:rFonts w:ascii="Times New Roman" w:hAnsi="Times New Roman" w:eastAsia="楷体_GB2312" w:cs="Times New Roman"/>
          <w:kern w:val="2"/>
          <w:sz w:val="32"/>
          <w:szCs w:val="32"/>
        </w:rPr>
        <w:t>（三）主要绩效及评价结论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在省委组织部精心指导和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市委坚强领导下，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全市组织部门坚持以习近平新时代中国特色社会主义思想为指导，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深入贯彻落实新时代党的建设总要求和新时代党的组织路线，认真学习宣传贯彻党的二十大精神，围绕中心大局积极担当作为，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全面建设现代化新益阳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</w:rPr>
        <w:t>提供坚强组织保证。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、坚持理论铸魂，党员、干部捍卫“两个确立”、践行“两个维护”更加坚定自觉。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是抓实迎接学习宣传贯彻党的二十大。先后举办2期全市处级以上领导干部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学习贯彻党的十九届六中全会精神专题读书班，督促市直单位和区县（市）实现培训全覆盖。抓好“学习贯彻党的十九届六中全会精神网络专题培训班”，应训率和通过率均达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100%。开设“献礼二十大”之《党旗引领向未来》专栏，持续推出210期各行业各领域的先进典型，为迎接党的二十大胜利召开营造良好氛围。举办省管干部和市管干部学习贯彻党的二十大精神集中轮训研讨班，联合各部门举办各类专业培训班66期、培训1.3万人次，教育引导党员干部在学思践悟中筑牢绝对忠诚思想根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二是规范高效开展党的二十大代表候选人推荐提名工作。严格按照党章规定和中央、省、市要求，突出政治标准和廉洁要求，严格程序、规范操作，圆满完成党的二十大代表候选人推荐提名工作。全市1万多个基层党组织、25万余名党员参与了代表候选人推荐提名工作，党组织和党员参与率、知晓率达100%。有关做法得到央视新闻联播、新华网、《中国组织人事报》等报道推介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、坚持选贤任能，干部选育管用更加科学规范。一是强化正向激励。研究出台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《关于大力培养选拔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“闯”“创”“干”干部的若干措施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》，在干部提拔使用和职级晋升上聚焦“三个一线、两个在前”，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以正确用人导向引领干部担当作为。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出台《市管职级干部管理暂行办法》，强化职级干部管理考核和关怀激励。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全面开展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市直行政审批单位科级干部内部轮岗和交流，12个单位的20名中层骨干进行了轮岗交流。二是考准考实干部日常表现。前移“凡提四必”关口，探索建立干部推荐“凡推四必”前置把关机制。构建干部日常了解常态长效机制，严格落实谈心谈话“五个必谈”原则，建立党校主体班派员跟班制度，完善干部动议事项宏观研判机制，全面了解干部工作圈、生活圈、社交圈等情况。发挥组织部门绩效考核牵头抓总作用，建立健全分级分类差异化考核的市考绩效评估体系，强化分析研判和调度指导，建立“周报告、月调度、季通报、年考核”工作机制，着力提升绩效考核工作的科学性精准性。三是以抓好巡视整改为契机规范选人用人工作。坚持以巡促改、未巡先改，组织开展中央、省委巡视选人用人专项检查反馈问题整改“回头看”和干部人事档案专项审核“回头看”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对干部“三龄两历”进行重点核实核查，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制定干部选拔任用工作流程、操作实务、考察工作模板，规范了部分市管干部调整的程序，全面完成消超计划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四是持续加大优秀年轻干部选拔力度。制定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《进一步加强年轻干部培养教育和管理监督工作任务清单》。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分期分批择优选拔34名优秀年轻干部充实进市直单位和区县（市）领导班子，市管领导班子年轻干部配备达到《规划纲要》要求。实施年轻干部赋能行动，选派78名年轻干部到市直机关、乡村振兴一线双向挂职。五是扎实做好代表、委员相关工作。切实做好代表、委员的资源摸底工作，为优中选优打好基础。坚持全过程民主，注重听取各方面意见，突出把好人选政治关、素质关、身份关、结构关、廉洁关，确保了代表委员人选的先进性代表性。六是规范公务员管理工作。稳慎推进参公事业单位重新认定工作，重新认定参公单位199个。出台《关于进一步加强全市应急管理综合行政执法队伍建设的通知》《关于进一步加强全市基层派出所警力保障的通知》《关于进一步加强乡镇（街道）干部队伍建设的通知》，规范编制保障、人员配备、激励约束，乡镇空编率下降至3.6%。做实公务员平时考核，重新确定16个市级联系点，推广“云端”考核，市直公务员实现全员线上考核。认真做好优秀推荐表彰，李狮入选“全国人民满意的公务员”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坚持强基固本，党组织政治功能和组织功能不断增强。一是全面推进抓党建促乡村振兴。建强“主心骨”，除按省定要求派驻工作队外，向683个脱贫人口100人以上的面上村派驻第一书记，鼓励退线、退休干部服务乡村振兴，下派干部841人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/>
        </w:rPr>
        <w:t>加强换届后村“两委”运行情况分析研判，坚持逐村研判、优中选优，调整不胜任现职的村“两委”成员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295名。充实“人才库”，实施“抓党建聚人才促振兴”行动，探索在乡镇设置乡村振兴人才服务站，挖掘乡村工匠等乡土人才，培养农村实用人才1.3万人，定向培养乡村医生、教师1085名；注重把党员培养成产业带头人，把产业带头人培养成党员，党员领办创办致富项目948个，2022年，农村集体经济收入村均达15.2万元，较上年增长17.8%。拧紧“责任阀”，制定重点任务清单，明确市县乡任务93项，实行项目化管理、清单化推进、全过程跟踪问效。建立市县组织部长“谈心谈话日”制度，聚焦乡村振兴开展谈心谈话986人次，推动县乡两级责任上肩。二是全面增强党建引领基层治理效能。全域推进村（居）民代表服务联系群众工作，整合党建引领网格化管理、党群连心“五个到户”等工作机制，建立问题反馈处置、正向激励等6项制度，实行全覆盖分类精准联户，10万余名代表活跃在乡村建设、疫情防控、抗旱救灾、文明实践一线，激活基层治理神经末梢。出台党建引领城市基层治理的若干措施，聚焦“一老一小”服务，做实城市居民小区党建，“爱心食堂”“望窗行动”等党建服务品牌温暖民心。大力推进基层党组织整建提质专项行动，推行整建提质“五个一”、未成年人保护“七个一”措施，以敲门行动、屋场会、微信群议事等方式，组织引领全民参与、群防群治，涉诈案件、吸毒人数和未成年人溺亡数同比下降21.3%、37.6%、57.1%。三是全面提升两新党建“两个覆盖”质效。开展两新党建集中组建攻坚行动，全市非公企业、社会组织党组织覆盖率分别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79.98%、87.19%。探索产业链党建工作，建立茶叶、稻虾、粮食、装备制造、船舶等9个产业链联合（综合）党委。抓实“党建引领 助力千企”三年行动，持续优化“四送”服务，帮助解决企业发展突出问题479个，市县领导和结对帮扶单位现场解决企业难题800多个。开展“党旗领航 百社联村”社会组织党组织助力乡村振兴行动，开展社会化服务280场次，帮助和扶持社会资金、项目资金560余万元。物流快递行业党建工作等得到省委组织部肯定推介，全省非公党建工作现场会在我市召开，新业态新群体党建、楼宇商圈市场党建等“两个覆盖”质效得到提升。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、坚持以诚引智，人才支撑发展作用更加凸显。一是强化政策牵引。建立以“十四五”期间人才发展规划为总揽，以战略实施意见为重点，以“人才新政25条”“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产业人才引育留用20条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”为依托，以34项配套措施为支撑的规范有序、系统集成的人才政策体系。深入开展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  <w:t>唯帽子”问题专项整治，优化人才计划管理，整合全市9个人才计划为“益美益阳人才计划”。二是强化平台支撑。协调各方加速打造各类创新平台，新增1个国家级科技企业孵化器，4家省级工程技术研究中心，增量排名全省第3。新建市级专家工作站20家，获评省级专家工作站13家，居全省第一。强化柔性引才，陈学庚等院士专家团队与在益企业签订24个产学研合作项目；发布并签约揭榜挂帅项目3个。全市新引进博士35人、硕士563人，企业管理人才180人、技能人才502人、外国专家21名，推荐2人入选国家重点人才计划。三是强化服务保障。33名市级领导带头联系服务68名专家。启动“金卡”系列服务系统，为81名高层次人才颁发“人才金卡”，实现人才子女入学、健康保健等20余项服务“一卡通办”。协调解决88名人才子女入学问题，统筹建设273套市级人才公寓，让人才在益阳幼有所育、住有所居、需有所应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/>
          <w:szCs w:val="32"/>
        </w:rPr>
      </w:pPr>
      <w:r>
        <w:rPr>
          <w:rFonts w:ascii="Times New Roman" w:hAnsi="Times New Roman"/>
          <w:color w:val="333333"/>
          <w:shd w:val="clear" w:color="auto" w:fill="FFFFFF"/>
        </w:rPr>
        <w:t>根据部门整体支出绩效评价指标确定的内容，经评价组综合评价，中共益阳市委组织部202</w:t>
      </w:r>
      <w:r>
        <w:rPr>
          <w:rFonts w:hint="eastAsia" w:ascii="Times New Roman" w:hAnsi="Times New Roman"/>
          <w:color w:val="333333"/>
          <w:shd w:val="clear" w:color="auto" w:fill="FFFFFF"/>
          <w:lang w:val="en-US" w:eastAsia="zh-CN"/>
        </w:rPr>
        <w:t>2</w:t>
      </w:r>
      <w:r>
        <w:rPr>
          <w:rFonts w:ascii="Times New Roman" w:hAnsi="Times New Roman"/>
          <w:color w:val="333333"/>
          <w:shd w:val="clear" w:color="auto" w:fill="FFFFFF"/>
        </w:rPr>
        <w:t>年度整体支出绩效</w:t>
      </w:r>
      <w:r>
        <w:rPr>
          <w:rFonts w:ascii="Times New Roman" w:hAnsi="Times New Roman"/>
          <w:szCs w:val="32"/>
        </w:rPr>
        <w:t>自评得分为</w:t>
      </w:r>
      <w:r>
        <w:rPr>
          <w:rFonts w:hint="eastAsia" w:ascii="Times New Roman" w:hAnsi="Times New Roman"/>
          <w:szCs w:val="32"/>
          <w:lang w:val="en-US" w:eastAsia="zh-CN"/>
        </w:rPr>
        <w:t>97.13</w:t>
      </w:r>
      <w:r>
        <w:rPr>
          <w:rFonts w:ascii="Times New Roman" w:hAnsi="Times New Roman"/>
          <w:szCs w:val="32"/>
        </w:rPr>
        <w:t>分，自评结论为“优秀”。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七、存在的问题及原因分析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1、</w:t>
      </w:r>
      <w:r>
        <w:rPr>
          <w:rFonts w:hint="eastAsia" w:ascii="Times New Roman" w:hAnsi="Times New Roman"/>
          <w:color w:val="000000"/>
          <w:szCs w:val="32"/>
        </w:rPr>
        <w:t>预算编制前瞻性不够，预算编制不够科学</w:t>
      </w:r>
      <w:r>
        <w:rPr>
          <w:rFonts w:hint="eastAsia"/>
          <w:color w:val="333333"/>
          <w:shd w:val="clear" w:color="auto" w:fill="FFFFFF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2、</w:t>
      </w:r>
      <w:r>
        <w:rPr>
          <w:rFonts w:hint="eastAsia" w:ascii="Times New Roman" w:hAnsi="Times New Roman"/>
          <w:color w:val="000000"/>
          <w:szCs w:val="32"/>
        </w:rPr>
        <w:t>通过绩效自评结果对比倒查，发现年初绩效目标设定还是不够科学合理，目标不够</w:t>
      </w:r>
      <w:r>
        <w:rPr>
          <w:rFonts w:hint="eastAsia" w:ascii="Times New Roman" w:hAnsi="Times New Roman"/>
          <w:color w:val="000000"/>
          <w:szCs w:val="32"/>
          <w:lang w:eastAsia="zh-CN"/>
        </w:rPr>
        <w:t>精准</w:t>
      </w:r>
      <w:r>
        <w:rPr>
          <w:rFonts w:hint="eastAsia" w:ascii="Times New Roman" w:hAnsi="Times New Roman"/>
          <w:color w:val="000000"/>
          <w:szCs w:val="32"/>
        </w:rPr>
        <w:t>、不易于评价。一是有些项目的部分指标难以量化，二是年初绩效目标设定不</w:t>
      </w:r>
      <w:r>
        <w:rPr>
          <w:rFonts w:hint="eastAsia" w:ascii="Times New Roman" w:hAnsi="Times New Roman"/>
          <w:color w:val="000000"/>
          <w:szCs w:val="32"/>
          <w:lang w:eastAsia="zh-CN"/>
        </w:rPr>
        <w:t>详</w:t>
      </w:r>
      <w:r>
        <w:rPr>
          <w:rFonts w:hint="eastAsia" w:ascii="Times New Roman" w:hAnsi="Times New Roman"/>
          <w:color w:val="000000"/>
          <w:szCs w:val="32"/>
        </w:rPr>
        <w:t>细、不完善。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八、下一步改进措施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1、</w:t>
      </w:r>
      <w:r>
        <w:rPr>
          <w:rFonts w:hint="eastAsia" w:ascii="Times New Roman" w:hAnsi="Times New Roman"/>
          <w:color w:val="000000"/>
          <w:szCs w:val="32"/>
        </w:rPr>
        <w:t>加强预算编制管理，进一步提高预算编制的科学性、合理性、严谨性和可控性</w:t>
      </w:r>
      <w:r>
        <w:rPr>
          <w:rFonts w:ascii="Times New Roman" w:hAnsi="Times New Roman"/>
          <w:color w:val="000000"/>
          <w:szCs w:val="32"/>
        </w:rPr>
        <w:t>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2、</w:t>
      </w:r>
      <w:r>
        <w:rPr>
          <w:rFonts w:hint="eastAsia" w:ascii="Times New Roman" w:hAnsi="Times New Roman"/>
          <w:color w:val="000000"/>
          <w:szCs w:val="32"/>
        </w:rPr>
        <w:t>加强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对</w:t>
      </w:r>
      <w:r>
        <w:rPr>
          <w:rFonts w:hint="eastAsia" w:ascii="Times New Roman" w:hAnsi="Times New Roman"/>
          <w:color w:val="000000"/>
          <w:szCs w:val="32"/>
        </w:rPr>
        <w:t>业务科室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的</w:t>
      </w:r>
      <w:r>
        <w:rPr>
          <w:rFonts w:hint="eastAsia" w:ascii="Times New Roman" w:hAnsi="Times New Roman"/>
          <w:color w:val="000000"/>
          <w:szCs w:val="32"/>
        </w:rPr>
        <w:t>绩效</w:t>
      </w:r>
      <w:r>
        <w:rPr>
          <w:rFonts w:hint="eastAsia" w:ascii="Times New Roman" w:hAnsi="Times New Roman"/>
          <w:color w:val="000000"/>
          <w:szCs w:val="32"/>
          <w:lang w:val="en-US" w:eastAsia="zh-CN"/>
        </w:rPr>
        <w:t>管理培训，提高绩效管理意识，进一步细化、量化、优化整体支出和项目支出绩效目标指标及目标值</w:t>
      </w:r>
      <w:r>
        <w:rPr>
          <w:rFonts w:hint="eastAsia" w:ascii="Times New Roman" w:hAnsi="Times New Roman"/>
          <w:color w:val="000000"/>
          <w:szCs w:val="32"/>
        </w:rPr>
        <w:t>。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黑体"/>
          <w:szCs w:val="32"/>
        </w:rPr>
      </w:pPr>
      <w:r>
        <w:rPr>
          <w:rFonts w:ascii="Times New Roman" w:hAnsi="黑体" w:eastAsia="黑体"/>
          <w:szCs w:val="32"/>
        </w:rPr>
        <w:t>九、部门整体支出绩效自评结果拟应用和公开情况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color w:val="000000"/>
          <w:szCs w:val="32"/>
        </w:rPr>
      </w:pPr>
      <w:r>
        <w:rPr>
          <w:rFonts w:ascii="Times New Roman" w:hAnsi="Times New Roman"/>
          <w:color w:val="000000"/>
          <w:szCs w:val="32"/>
        </w:rPr>
        <w:t>绩效自评结果将为下年度预算</w:t>
      </w:r>
      <w:r>
        <w:rPr>
          <w:rFonts w:hint="eastAsia" w:ascii="Times New Roman" w:hAnsi="Times New Roman"/>
          <w:color w:val="000000"/>
          <w:szCs w:val="32"/>
          <w:lang w:eastAsia="zh-CN"/>
        </w:rPr>
        <w:t>编制</w:t>
      </w:r>
      <w:bookmarkStart w:id="0" w:name="_GoBack"/>
      <w:bookmarkEnd w:id="0"/>
      <w:r>
        <w:rPr>
          <w:rFonts w:ascii="Times New Roman" w:hAnsi="Times New Roman"/>
          <w:color w:val="000000"/>
          <w:szCs w:val="32"/>
        </w:rPr>
        <w:t>、预算执行和预算管理提供参照和依据，不断细化绩效评价指标，提高资金使用效益。绩效评价报告及相关表格将按规定在益阳党建网进行公开。</w:t>
      </w: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附件: 1、部门整体支出绩效评价基础数据表</w:t>
      </w:r>
    </w:p>
    <w:p>
      <w:pPr>
        <w:widowControl/>
        <w:spacing w:line="600" w:lineRule="exact"/>
        <w:ind w:firstLine="1440" w:firstLineChars="450"/>
        <w:jc w:val="left"/>
        <w:rPr>
          <w:rFonts w:ascii="Times New Roman" w:hAnsi="Times New Roman"/>
          <w:szCs w:val="32"/>
        </w:rPr>
      </w:pPr>
      <w:r>
        <w:rPr>
          <w:rFonts w:ascii="Times New Roman" w:hAnsi="Times New Roman"/>
          <w:szCs w:val="32"/>
        </w:rPr>
        <w:t>2、部门整体支出绩效自评表</w:t>
      </w:r>
    </w:p>
    <w:p>
      <w:pPr>
        <w:rPr>
          <w:rFonts w:ascii="Times New Roman" w:hAnsi="Times New Roman"/>
        </w:rPr>
      </w:pPr>
    </w:p>
    <w:p/>
    <w:p/>
    <w:p/>
    <w:p/>
    <w:p/>
    <w:p/>
    <w:p>
      <w:pPr>
        <w:widowControl/>
        <w:spacing w:line="400" w:lineRule="exact"/>
        <w:jc w:val="left"/>
        <w:rPr>
          <w:rFonts w:ascii="黑体" w:hAnsi="黑体" w:eastAsia="黑体"/>
          <w:szCs w:val="32"/>
        </w:rPr>
      </w:pPr>
    </w:p>
    <w:p>
      <w:pPr>
        <w:widowControl/>
        <w:spacing w:line="400" w:lineRule="exact"/>
        <w:jc w:val="left"/>
        <w:rPr>
          <w:rFonts w:eastAsia="黑体"/>
          <w:szCs w:val="32"/>
        </w:rPr>
      </w:pPr>
    </w:p>
    <w:p>
      <w:pPr>
        <w:widowControl/>
        <w:spacing w:line="400" w:lineRule="exact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</w:t>
      </w:r>
      <w:r>
        <w:rPr>
          <w:rFonts w:hint="eastAsia" w:eastAsia="黑体"/>
          <w:szCs w:val="32"/>
        </w:rPr>
        <w:t>1</w:t>
      </w:r>
    </w:p>
    <w:p>
      <w:pPr>
        <w:spacing w:line="600" w:lineRule="exact"/>
        <w:jc w:val="center"/>
        <w:rPr>
          <w:rFonts w:eastAsia="方正小标宋_GBK"/>
          <w:kern w:val="0"/>
          <w:sz w:val="36"/>
          <w:szCs w:val="36"/>
        </w:rPr>
      </w:pPr>
      <w:r>
        <w:rPr>
          <w:rFonts w:eastAsia="方正小标宋_GBK"/>
          <w:kern w:val="0"/>
          <w:sz w:val="36"/>
          <w:szCs w:val="36"/>
        </w:rPr>
        <w:t>202</w:t>
      </w:r>
      <w:r>
        <w:rPr>
          <w:rFonts w:hint="eastAsia" w:eastAsia="方正小标宋_GBK"/>
          <w:kern w:val="0"/>
          <w:sz w:val="36"/>
          <w:szCs w:val="36"/>
          <w:lang w:val="en-US" w:eastAsia="zh-CN"/>
        </w:rPr>
        <w:t>2</w:t>
      </w:r>
      <w:r>
        <w:rPr>
          <w:rFonts w:eastAsia="方正小标宋_GBK"/>
          <w:kern w:val="0"/>
          <w:sz w:val="36"/>
          <w:szCs w:val="36"/>
        </w:rPr>
        <w:t>年度部门整体支出绩效评价基础数据表</w:t>
      </w:r>
    </w:p>
    <w:tbl>
      <w:tblPr>
        <w:tblStyle w:val="7"/>
        <w:tblW w:w="96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9"/>
        <w:gridCol w:w="1190"/>
        <w:gridCol w:w="1117"/>
        <w:gridCol w:w="1071"/>
        <w:gridCol w:w="1131"/>
        <w:gridCol w:w="952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财政供养人员情况（人）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编制数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年实际在职人数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74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64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86.49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经费控制情况（万元）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2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年预算数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202</w:t>
            </w: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支出总额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1921.43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1881.59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  <w:lang w:val="en-US" w:eastAsia="zh-CN"/>
              </w:rPr>
              <w:t>1881.59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1"/>
                <w:szCs w:val="21"/>
              </w:rPr>
              <w:t>基本支出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1265.74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1434.04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1434.04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其中：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公用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经费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166.12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180.81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180.81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项目支出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655.69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447.55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447.55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   其中：1、运行维护经费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22.89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14.24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14.24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        2、业务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工作经费 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632.80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433.31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433.31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……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ind w:firstLine="1050" w:firstLineChars="500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……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三公经费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10.30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10.25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10.25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1、公务用车购置和维护经费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7.22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8.49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8.49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其中：公车购置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          公车运行维护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7.22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8.49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8.49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2、出国经费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0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 xml:space="preserve">   3、公务接待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3.08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1.76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default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1.76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1"/>
                <w:szCs w:val="21"/>
              </w:rPr>
              <w:t>政府采购金额</w:t>
            </w:r>
          </w:p>
        </w:tc>
        <w:tc>
          <w:tcPr>
            <w:tcW w:w="230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——</w:t>
            </w:r>
          </w:p>
        </w:tc>
        <w:tc>
          <w:tcPr>
            <w:tcW w:w="2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3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楼堂馆所控制情况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（202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年完工项目）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批复规模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br w:type="textWrapping"/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（㎡）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实际规模（㎡）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规模控制率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预算投资（万元）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实际投资（万元）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0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31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kern w:val="0"/>
                <w:sz w:val="21"/>
                <w:szCs w:val="21"/>
              </w:rPr>
              <w:t>厉行节约保障措施</w:t>
            </w:r>
          </w:p>
        </w:tc>
        <w:tc>
          <w:tcPr>
            <w:tcW w:w="643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kern w:val="0"/>
                <w:sz w:val="21"/>
                <w:szCs w:val="21"/>
              </w:rPr>
              <w:t>1、树牢过“紧日子”思想，对预算编制、资产管理、采购管理、报账管理等方面提出更严格的要求。2、建立节约长效机制，制定了《机关运行保障实用手册》，建立健全节约工作责任制，使节约工作走上制度化、规范化的管理轨道。</w:t>
            </w:r>
            <w:r>
              <w:rPr>
                <w:rFonts w:ascii="Times New Roman" w:hAnsi="Times New Roman"/>
                <w:kern w:val="0"/>
                <w:sz w:val="21"/>
                <w:szCs w:val="21"/>
              </w:rPr>
              <w:t>　</w:t>
            </w:r>
          </w:p>
        </w:tc>
      </w:tr>
    </w:tbl>
    <w:p>
      <w:pPr>
        <w:widowControl/>
        <w:spacing w:line="300" w:lineRule="exact"/>
        <w:jc w:val="left"/>
        <w:rPr>
          <w:rFonts w:hint="eastAsia"/>
          <w:kern w:val="0"/>
          <w:sz w:val="22"/>
          <w:szCs w:val="24"/>
        </w:rPr>
      </w:pPr>
      <w:r>
        <w:rPr>
          <w:kern w:val="0"/>
          <w:sz w:val="22"/>
          <w:szCs w:val="24"/>
        </w:rPr>
        <w:t>说明：“公用经费”填报基本支出中的一般商品和服务支出。“项目支出”需要填报基本支出以外的所有项目支出情况，</w:t>
      </w:r>
      <w:r>
        <w:rPr>
          <w:rFonts w:hint="eastAsia"/>
          <w:kern w:val="0"/>
          <w:sz w:val="22"/>
          <w:szCs w:val="24"/>
        </w:rPr>
        <w:t>“运行维护经费”填报项目支出中用于人员类和公用运转类的支出。</w:t>
      </w:r>
    </w:p>
    <w:p>
      <w:pPr>
        <w:widowControl/>
        <w:spacing w:line="300" w:lineRule="exact"/>
        <w:jc w:val="left"/>
        <w:rPr>
          <w:kern w:val="0"/>
          <w:sz w:val="22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kern w:val="0"/>
          <w:sz w:val="22"/>
          <w:szCs w:val="24"/>
        </w:rPr>
        <w:t>填表人：</w:t>
      </w:r>
      <w:r>
        <w:rPr>
          <w:rFonts w:hint="eastAsia"/>
          <w:kern w:val="0"/>
          <w:sz w:val="22"/>
          <w:szCs w:val="24"/>
          <w:lang w:val="en-US" w:eastAsia="zh-CN"/>
        </w:rPr>
        <w:t>朱琳</w:t>
      </w:r>
      <w:r>
        <w:rPr>
          <w:kern w:val="0"/>
          <w:sz w:val="22"/>
          <w:szCs w:val="24"/>
        </w:rPr>
        <w:t xml:space="preserve">   填报日期：</w:t>
      </w:r>
      <w:r>
        <w:rPr>
          <w:rFonts w:hint="eastAsia"/>
          <w:kern w:val="0"/>
          <w:sz w:val="22"/>
          <w:szCs w:val="24"/>
          <w:lang w:val="en-US" w:eastAsia="zh-CN"/>
        </w:rPr>
        <w:t>2023年3月13日</w:t>
      </w:r>
      <w:r>
        <w:rPr>
          <w:kern w:val="0"/>
          <w:sz w:val="22"/>
          <w:szCs w:val="24"/>
        </w:rPr>
        <w:t xml:space="preserve">  联系电话：</w:t>
      </w:r>
      <w:r>
        <w:rPr>
          <w:rFonts w:hint="eastAsia"/>
          <w:kern w:val="0"/>
          <w:sz w:val="22"/>
          <w:szCs w:val="24"/>
          <w:lang w:val="en-US" w:eastAsia="zh-CN"/>
        </w:rPr>
        <w:t>4225031</w:t>
      </w:r>
      <w:r>
        <w:rPr>
          <w:kern w:val="0"/>
          <w:sz w:val="22"/>
          <w:szCs w:val="24"/>
        </w:rPr>
        <w:t xml:space="preserve">  单位负责人签字：</w:t>
      </w:r>
      <w:r>
        <w:rPr>
          <w:kern w:val="0"/>
          <w:sz w:val="22"/>
          <w:szCs w:val="24"/>
        </w:rPr>
        <w:br w:type="page"/>
      </w:r>
    </w:p>
    <w:p>
      <w:pPr>
        <w:widowControl/>
        <w:jc w:val="left"/>
        <w:rPr>
          <w:rFonts w:ascii="Times New Roman" w:hAnsi="Times New Roman" w:eastAsia="黑体"/>
          <w:szCs w:val="32"/>
        </w:rPr>
      </w:pPr>
      <w:r>
        <w:rPr>
          <w:rFonts w:ascii="Times New Roman" w:hAnsi="Times New Roman" w:eastAsia="黑体"/>
          <w:szCs w:val="32"/>
        </w:rPr>
        <w:t>附件</w:t>
      </w:r>
      <w:r>
        <w:rPr>
          <w:rFonts w:hint="eastAsia" w:ascii="Times New Roman" w:hAnsi="Times New Roman" w:eastAsia="黑体"/>
          <w:szCs w:val="32"/>
        </w:rPr>
        <w:t>2</w:t>
      </w:r>
    </w:p>
    <w:p>
      <w:pPr>
        <w:widowControl/>
        <w:spacing w:line="400" w:lineRule="exact"/>
        <w:jc w:val="center"/>
        <w:rPr>
          <w:rFonts w:ascii="Times New Roman" w:hAnsi="Times New Roman" w:eastAsia="方正小标宋_GBK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202</w:t>
      </w:r>
      <w:r>
        <w:rPr>
          <w:rFonts w:hint="eastAsia" w:ascii="Times New Roman" w:hAnsi="Times New Roman" w:eastAsia="方正小标宋_GBK"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ascii="Times New Roman" w:hAnsi="Times New Roman" w:eastAsia="方正小标宋_GBK"/>
          <w:color w:val="000000"/>
          <w:kern w:val="0"/>
          <w:sz w:val="36"/>
          <w:szCs w:val="36"/>
        </w:rPr>
        <w:t>年度部门整体支出绩效自评表</w:t>
      </w:r>
    </w:p>
    <w:tbl>
      <w:tblPr>
        <w:tblStyle w:val="7"/>
        <w:tblW w:w="999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953"/>
        <w:gridCol w:w="1256"/>
        <w:gridCol w:w="428"/>
        <w:gridCol w:w="1009"/>
        <w:gridCol w:w="1134"/>
        <w:gridCol w:w="812"/>
        <w:gridCol w:w="945"/>
        <w:gridCol w:w="1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预算部门</w:t>
            </w:r>
          </w:p>
        </w:tc>
        <w:tc>
          <w:tcPr>
            <w:tcW w:w="891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中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国共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产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党益阳市委员会组织部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年度预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算申请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预算数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全年执行数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分值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执行率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1120.59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1881.59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1881.59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>
              <w:rPr>
                <w:rFonts w:hint="eastAsia" w:ascii="Times New Roman" w:hAnsi="Times New Roman"/>
                <w:sz w:val="18"/>
                <w:szCs w:val="18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按收入性质分：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按支出性质分：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 xml:space="preserve">  其中：  一般公共预算：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1881.59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其中：基本支出：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434.04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720" w:firstLineChars="40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政府性基金拨款：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540" w:firstLineChars="300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项目支出：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447.55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纳入专户管理的非税收入拨款：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ind w:firstLine="1260" w:firstLineChars="700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其他资金：</w:t>
            </w:r>
          </w:p>
        </w:tc>
        <w:tc>
          <w:tcPr>
            <w:tcW w:w="41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4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实际完成情况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  <w:jc w:val="center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472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加强党的科学理论武装，精准开展专业化能力培训，夯实教育培训工作基础。持续落实全面加强基层建设的政策措施，全面推进抓党建促乡村振兴，统筹推进各领域党建工作，强化党建引领基层治理，持续提升党员教育管理质量。切实优化领导班子结构与功能，加强干部系统管理，抓实担当作为激励和保护机制，完善绩效评估工作，坚持从严管理监督干部，加强和改进公务员工作，全方位培养引进用好人才。着力打造模范部门和过硬队伍。</w:t>
            </w:r>
            <w:r>
              <w:rPr>
                <w:rFonts w:ascii="仿宋" w:hAnsi="仿宋" w:eastAsia="仿宋"/>
                <w:sz w:val="18"/>
                <w:szCs w:val="18"/>
              </w:rPr>
              <w:t>　</w:t>
            </w:r>
          </w:p>
        </w:tc>
        <w:tc>
          <w:tcPr>
            <w:tcW w:w="41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已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完成年度总体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实际完成值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分值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偏差原因分析及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  <w:t>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(50分)</w:t>
            </w:r>
          </w:p>
        </w:tc>
        <w:tc>
          <w:tcPr>
            <w:tcW w:w="95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干部教育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专题读书班期数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  <w:lang w:val="en-US" w:eastAsia="zh-CN"/>
              </w:rPr>
              <w:t>≥1期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  <w:lang w:val="en-US" w:eastAsia="zh-CN"/>
              </w:rPr>
              <w:t>2期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领导干部个人事项报告应报尽报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=100%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党员教育培训班次数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kern w:val="0"/>
                <w:sz w:val="13"/>
                <w:szCs w:val="13"/>
                <w:lang w:val="en-US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  <w:lang w:val="en-US" w:eastAsia="zh-CN"/>
              </w:rPr>
              <w:t>≥1次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color w:val="FF0000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3"/>
                <w:szCs w:val="13"/>
                <w:lang w:val="en-US" w:eastAsia="zh-CN"/>
              </w:rPr>
              <w:t>2次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质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量指标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时效</w:t>
            </w: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指标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各项工作经费及时足额拨付率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=100%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  <w:lang w:val="en-US" w:eastAsia="zh-CN"/>
              </w:rPr>
              <w:t>97.13</w:t>
            </w: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  <w:lang w:val="en-US" w:eastAsia="zh-CN"/>
              </w:rPr>
              <w:t>7.13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eastAsia="zh-CN"/>
              </w:rPr>
              <w:t>年底新冠疫情的爆发影响了公务员考录集中面试经费的及时支付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</w:rPr>
              <w:t>三公经费</w:t>
            </w:r>
            <w:r>
              <w:rPr>
                <w:rFonts w:hint="eastAsia" w:ascii="Times New Roman" w:hAnsi="Times New Roman"/>
                <w:color w:val="000000"/>
                <w:kern w:val="0"/>
                <w:sz w:val="18"/>
                <w:szCs w:val="18"/>
                <w:lang w:val="en-US" w:eastAsia="zh-CN"/>
              </w:rPr>
              <w:t>控制率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≤100%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0分）</w:t>
            </w:r>
          </w:p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Times New Roman" w:hAnsi="Times New Roman" w:eastAsia="仿宋_GB2312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提升干部素质与能力，保障公务员队伍可持续发展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/>
              </w:rPr>
              <w:t>；提升益阳市党建工作质量和水平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100%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20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益指标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为全市经济社会发展提供坚强的组织保证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100%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100%</w:t>
            </w:r>
          </w:p>
        </w:tc>
        <w:tc>
          <w:tcPr>
            <w:tcW w:w="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</w:rPr>
              <w:t>基层群众对组织工作的满意度</w:t>
            </w:r>
          </w:p>
        </w:tc>
        <w:tc>
          <w:tcPr>
            <w:tcW w:w="10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  <w:lang w:val="en-US" w:eastAsia="zh-CN"/>
              </w:rPr>
              <w:t>≥85</w:t>
            </w: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13"/>
                <w:szCs w:val="13"/>
                <w:lang w:val="en-US" w:eastAsia="zh-CN"/>
              </w:rPr>
              <w:t>99.85</w:t>
            </w:r>
            <w:r>
              <w:rPr>
                <w:rFonts w:hint="eastAsia" w:ascii="Times New Roman" w:hAnsi="Times New Roman"/>
                <w:color w:val="000000" w:themeColor="text1"/>
                <w:kern w:val="0"/>
                <w:sz w:val="13"/>
                <w:szCs w:val="13"/>
              </w:rPr>
              <w:t>%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3"/>
                <w:szCs w:val="13"/>
              </w:rPr>
              <w:t>10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9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总分</w:t>
            </w:r>
          </w:p>
        </w:tc>
        <w:tc>
          <w:tcPr>
            <w:tcW w:w="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100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Times New Roman" w:hAnsi="Times New Roman" w:eastAsia="仿宋_GB2312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Times New Roman" w:hAnsi="Times New Roman"/>
                <w:color w:val="000000"/>
                <w:kern w:val="0"/>
                <w:sz w:val="21"/>
                <w:szCs w:val="21"/>
                <w:lang w:val="en-US" w:eastAsia="zh-CN"/>
              </w:rPr>
              <w:t>97.13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Times New Roman" w:hAnsi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widowControl/>
        <w:spacing w:line="400" w:lineRule="exact"/>
        <w:ind w:left="-148" w:leftChars="-134" w:hanging="281" w:hangingChars="134"/>
        <w:jc w:val="left"/>
      </w:pPr>
      <w:r>
        <w:rPr>
          <w:rFonts w:ascii="Times New Roman" w:hAnsi="Times New Roman"/>
          <w:kern w:val="0"/>
          <w:sz w:val="21"/>
          <w:szCs w:val="21"/>
        </w:rPr>
        <w:t>填表人：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朱琳</w:t>
      </w:r>
      <w:r>
        <w:rPr>
          <w:rFonts w:ascii="Times New Roman" w:hAnsi="Times New Roman"/>
          <w:kern w:val="0"/>
          <w:sz w:val="21"/>
          <w:szCs w:val="21"/>
        </w:rPr>
        <w:t xml:space="preserve">     填报日期：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2023年3月13日</w:t>
      </w:r>
      <w:r>
        <w:rPr>
          <w:rFonts w:ascii="Times New Roman" w:hAnsi="Times New Roman"/>
          <w:kern w:val="0"/>
          <w:sz w:val="21"/>
          <w:szCs w:val="21"/>
        </w:rPr>
        <w:t xml:space="preserve">  联系电话：</w:t>
      </w:r>
      <w:r>
        <w:rPr>
          <w:rFonts w:hint="eastAsia" w:ascii="Times New Roman" w:hAnsi="Times New Roman"/>
          <w:kern w:val="0"/>
          <w:sz w:val="21"/>
          <w:szCs w:val="21"/>
          <w:lang w:val="en-US" w:eastAsia="zh-CN"/>
        </w:rPr>
        <w:t>4225031</w:t>
      </w:r>
      <w:r>
        <w:rPr>
          <w:rFonts w:ascii="Times New Roman" w:hAnsi="Times New Roman"/>
          <w:kern w:val="0"/>
          <w:sz w:val="21"/>
          <w:szCs w:val="21"/>
        </w:rPr>
        <w:t xml:space="preserve">        单位负责人签字：</w:t>
      </w:r>
    </w:p>
    <w:sectPr>
      <w:pgSz w:w="11906" w:h="16838"/>
      <w:pgMar w:top="1134" w:right="1797" w:bottom="107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A4E7CCF"/>
    <w:multiLevelType w:val="multilevel"/>
    <w:tmpl w:val="6A4E7CCF"/>
    <w:lvl w:ilvl="0" w:tentative="0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D180E9E"/>
    <w:multiLevelType w:val="multilevel"/>
    <w:tmpl w:val="6D180E9E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JjZTRlMTJjMzgwZTViNDE3NTY0NjY3MDk1OTkyNmIifQ=="/>
  </w:docVars>
  <w:rsids>
    <w:rsidRoot w:val="00116D7E"/>
    <w:rsid w:val="0001366C"/>
    <w:rsid w:val="00037F52"/>
    <w:rsid w:val="00053A70"/>
    <w:rsid w:val="00085F0E"/>
    <w:rsid w:val="00094003"/>
    <w:rsid w:val="000A06E4"/>
    <w:rsid w:val="000A23BD"/>
    <w:rsid w:val="000A3A5F"/>
    <w:rsid w:val="000E1827"/>
    <w:rsid w:val="000F3AF9"/>
    <w:rsid w:val="00113A0F"/>
    <w:rsid w:val="00115974"/>
    <w:rsid w:val="00116D7E"/>
    <w:rsid w:val="00136E82"/>
    <w:rsid w:val="00152CED"/>
    <w:rsid w:val="0015486D"/>
    <w:rsid w:val="00156682"/>
    <w:rsid w:val="00183CBD"/>
    <w:rsid w:val="001903F9"/>
    <w:rsid w:val="0019656C"/>
    <w:rsid w:val="001A42AF"/>
    <w:rsid w:val="001A6974"/>
    <w:rsid w:val="001A6C0A"/>
    <w:rsid w:val="001C28B2"/>
    <w:rsid w:val="001F320E"/>
    <w:rsid w:val="001F690E"/>
    <w:rsid w:val="00205EC0"/>
    <w:rsid w:val="002063C6"/>
    <w:rsid w:val="00216572"/>
    <w:rsid w:val="00225208"/>
    <w:rsid w:val="00231F59"/>
    <w:rsid w:val="00242A4E"/>
    <w:rsid w:val="002739F5"/>
    <w:rsid w:val="00275867"/>
    <w:rsid w:val="00295EA5"/>
    <w:rsid w:val="002F67AF"/>
    <w:rsid w:val="0030701E"/>
    <w:rsid w:val="003459A1"/>
    <w:rsid w:val="003505C9"/>
    <w:rsid w:val="003C11EE"/>
    <w:rsid w:val="003D0D8D"/>
    <w:rsid w:val="003D6B67"/>
    <w:rsid w:val="003F3E8C"/>
    <w:rsid w:val="003F4FA1"/>
    <w:rsid w:val="004002BA"/>
    <w:rsid w:val="0042341D"/>
    <w:rsid w:val="0043644D"/>
    <w:rsid w:val="00463BCB"/>
    <w:rsid w:val="004810FF"/>
    <w:rsid w:val="004859EA"/>
    <w:rsid w:val="00491EEB"/>
    <w:rsid w:val="004A5D9C"/>
    <w:rsid w:val="004B65B5"/>
    <w:rsid w:val="004C13E2"/>
    <w:rsid w:val="004D61C6"/>
    <w:rsid w:val="004D6A6E"/>
    <w:rsid w:val="004F5DD9"/>
    <w:rsid w:val="004F6CF3"/>
    <w:rsid w:val="00503739"/>
    <w:rsid w:val="00514D6B"/>
    <w:rsid w:val="005162D6"/>
    <w:rsid w:val="00541F1F"/>
    <w:rsid w:val="0054215E"/>
    <w:rsid w:val="00562FC9"/>
    <w:rsid w:val="00592274"/>
    <w:rsid w:val="005A71D3"/>
    <w:rsid w:val="005D1737"/>
    <w:rsid w:val="005D5A9F"/>
    <w:rsid w:val="006055D7"/>
    <w:rsid w:val="00634C7B"/>
    <w:rsid w:val="006436CA"/>
    <w:rsid w:val="006622E2"/>
    <w:rsid w:val="0066612D"/>
    <w:rsid w:val="0067775B"/>
    <w:rsid w:val="006E23E5"/>
    <w:rsid w:val="006F1B46"/>
    <w:rsid w:val="00727925"/>
    <w:rsid w:val="00762431"/>
    <w:rsid w:val="00765FA7"/>
    <w:rsid w:val="007701B6"/>
    <w:rsid w:val="007767A0"/>
    <w:rsid w:val="007768A4"/>
    <w:rsid w:val="0078323D"/>
    <w:rsid w:val="00794956"/>
    <w:rsid w:val="007A26AD"/>
    <w:rsid w:val="007D15BF"/>
    <w:rsid w:val="007D4D9D"/>
    <w:rsid w:val="007F3250"/>
    <w:rsid w:val="00804C86"/>
    <w:rsid w:val="008137CD"/>
    <w:rsid w:val="008214F7"/>
    <w:rsid w:val="0082771A"/>
    <w:rsid w:val="00841483"/>
    <w:rsid w:val="00844F1C"/>
    <w:rsid w:val="00865325"/>
    <w:rsid w:val="008657F5"/>
    <w:rsid w:val="00884B71"/>
    <w:rsid w:val="008855F1"/>
    <w:rsid w:val="008A21FB"/>
    <w:rsid w:val="008A726A"/>
    <w:rsid w:val="008B170D"/>
    <w:rsid w:val="008B4DFB"/>
    <w:rsid w:val="008B546E"/>
    <w:rsid w:val="008C027A"/>
    <w:rsid w:val="008D07CC"/>
    <w:rsid w:val="008E2323"/>
    <w:rsid w:val="008E7C29"/>
    <w:rsid w:val="008F16D1"/>
    <w:rsid w:val="0090190E"/>
    <w:rsid w:val="00905332"/>
    <w:rsid w:val="009179E8"/>
    <w:rsid w:val="00923090"/>
    <w:rsid w:val="00923D97"/>
    <w:rsid w:val="009461C8"/>
    <w:rsid w:val="0097304B"/>
    <w:rsid w:val="00997756"/>
    <w:rsid w:val="009A07DE"/>
    <w:rsid w:val="009A099C"/>
    <w:rsid w:val="009A2453"/>
    <w:rsid w:val="009B0530"/>
    <w:rsid w:val="009B476A"/>
    <w:rsid w:val="009C0ED1"/>
    <w:rsid w:val="009C10F1"/>
    <w:rsid w:val="009D2522"/>
    <w:rsid w:val="009E66D3"/>
    <w:rsid w:val="009F4E0A"/>
    <w:rsid w:val="009F7525"/>
    <w:rsid w:val="009F7FC4"/>
    <w:rsid w:val="00A02036"/>
    <w:rsid w:val="00A12B7A"/>
    <w:rsid w:val="00A40C71"/>
    <w:rsid w:val="00A65E7E"/>
    <w:rsid w:val="00A71073"/>
    <w:rsid w:val="00AA54DD"/>
    <w:rsid w:val="00AC3FD5"/>
    <w:rsid w:val="00AD050F"/>
    <w:rsid w:val="00AF265A"/>
    <w:rsid w:val="00B14827"/>
    <w:rsid w:val="00B235D6"/>
    <w:rsid w:val="00B53C1A"/>
    <w:rsid w:val="00B73BFD"/>
    <w:rsid w:val="00B74AA3"/>
    <w:rsid w:val="00B76ABA"/>
    <w:rsid w:val="00B91E43"/>
    <w:rsid w:val="00BC3FB2"/>
    <w:rsid w:val="00BC6805"/>
    <w:rsid w:val="00BE3D59"/>
    <w:rsid w:val="00C547C4"/>
    <w:rsid w:val="00C660C8"/>
    <w:rsid w:val="00C70F28"/>
    <w:rsid w:val="00C72029"/>
    <w:rsid w:val="00C7374A"/>
    <w:rsid w:val="00C91D74"/>
    <w:rsid w:val="00C9479B"/>
    <w:rsid w:val="00CA3ED2"/>
    <w:rsid w:val="00CB0CEF"/>
    <w:rsid w:val="00CB5807"/>
    <w:rsid w:val="00CF058C"/>
    <w:rsid w:val="00D2419F"/>
    <w:rsid w:val="00D32511"/>
    <w:rsid w:val="00D43031"/>
    <w:rsid w:val="00D52EFE"/>
    <w:rsid w:val="00D56778"/>
    <w:rsid w:val="00D60F4F"/>
    <w:rsid w:val="00DB6110"/>
    <w:rsid w:val="00DD1A9D"/>
    <w:rsid w:val="00DD2323"/>
    <w:rsid w:val="00DF05B9"/>
    <w:rsid w:val="00DF373C"/>
    <w:rsid w:val="00E026FB"/>
    <w:rsid w:val="00E04E90"/>
    <w:rsid w:val="00E11635"/>
    <w:rsid w:val="00E24E4C"/>
    <w:rsid w:val="00E63111"/>
    <w:rsid w:val="00E719D6"/>
    <w:rsid w:val="00E8122D"/>
    <w:rsid w:val="00E96ABB"/>
    <w:rsid w:val="00EA2464"/>
    <w:rsid w:val="00EB3C4D"/>
    <w:rsid w:val="00EC7BD1"/>
    <w:rsid w:val="00ED1CA7"/>
    <w:rsid w:val="00EE0985"/>
    <w:rsid w:val="00F00BA0"/>
    <w:rsid w:val="00F052DC"/>
    <w:rsid w:val="00F1143D"/>
    <w:rsid w:val="00F12D6E"/>
    <w:rsid w:val="00F20673"/>
    <w:rsid w:val="00F2785F"/>
    <w:rsid w:val="00F4458E"/>
    <w:rsid w:val="00F46FDD"/>
    <w:rsid w:val="00FC0149"/>
    <w:rsid w:val="00FD1776"/>
    <w:rsid w:val="00FF56F6"/>
    <w:rsid w:val="01AD0544"/>
    <w:rsid w:val="05C26AA8"/>
    <w:rsid w:val="0BA433ED"/>
    <w:rsid w:val="0C264131"/>
    <w:rsid w:val="0EA277B4"/>
    <w:rsid w:val="183360B6"/>
    <w:rsid w:val="18407BE4"/>
    <w:rsid w:val="1A3C5D88"/>
    <w:rsid w:val="1CBF6A6A"/>
    <w:rsid w:val="1FDC5D87"/>
    <w:rsid w:val="28A70D84"/>
    <w:rsid w:val="29044183"/>
    <w:rsid w:val="29F55CE0"/>
    <w:rsid w:val="30DA4EF5"/>
    <w:rsid w:val="32B828A4"/>
    <w:rsid w:val="32F3654B"/>
    <w:rsid w:val="3B3526C8"/>
    <w:rsid w:val="3D131CC6"/>
    <w:rsid w:val="3D976419"/>
    <w:rsid w:val="3E7A2642"/>
    <w:rsid w:val="3EBD6E89"/>
    <w:rsid w:val="40D06341"/>
    <w:rsid w:val="410A3261"/>
    <w:rsid w:val="41B96BE3"/>
    <w:rsid w:val="44D23F64"/>
    <w:rsid w:val="4BC5037E"/>
    <w:rsid w:val="4E5706B1"/>
    <w:rsid w:val="50E20972"/>
    <w:rsid w:val="524F34ED"/>
    <w:rsid w:val="555D7C51"/>
    <w:rsid w:val="56786C15"/>
    <w:rsid w:val="58933E97"/>
    <w:rsid w:val="59484FC5"/>
    <w:rsid w:val="5FDA624B"/>
    <w:rsid w:val="607B4615"/>
    <w:rsid w:val="61475B62"/>
    <w:rsid w:val="61B64F61"/>
    <w:rsid w:val="6449253C"/>
    <w:rsid w:val="644B69CE"/>
    <w:rsid w:val="6AA61A2B"/>
    <w:rsid w:val="713137EF"/>
    <w:rsid w:val="7DE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0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spacing w:after="120" w:line="480" w:lineRule="auto"/>
    </w:p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eastAsia="宋体"/>
      <w:sz w:val="21"/>
      <w:szCs w:val="24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0"/>
    <w:rPr>
      <w:rFonts w:ascii="Calibri" w:hAnsi="Calibri" w:eastAsia="仿宋_GB2312" w:cs="Times New Roman"/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rFonts w:ascii="Calibri" w:hAnsi="Calibri" w:eastAsia="仿宋_GB2312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_Style 1"/>
    <w:basedOn w:val="1"/>
    <w:qFormat/>
    <w:uiPriority w:val="34"/>
    <w:pPr>
      <w:ind w:firstLine="420" w:firstLineChars="200"/>
    </w:pPr>
    <w:rPr>
      <w:rFonts w:eastAsia="宋体"/>
      <w:sz w:val="21"/>
      <w:szCs w:val="24"/>
    </w:rPr>
  </w:style>
  <w:style w:type="character" w:customStyle="1" w:styleId="1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8663-EA3B-4C68-A868-F213AB24ED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7868</Words>
  <Characters>8505</Characters>
  <Lines>77</Lines>
  <Paragraphs>21</Paragraphs>
  <TotalTime>5</TotalTime>
  <ScaleCrop>false</ScaleCrop>
  <LinksUpToDate>false</LinksUpToDate>
  <CharactersWithSpaces>8627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2021-03-18T02:56:00Z</dcterms:created>
  <dc:creator>Administrator</dc:creator>
  <cp:lastModifiedBy>Administrator</cp:lastModifiedBy>
  <cp:lastPrinted>2023-03-13T07:10:00Z</cp:lastPrinted>
  <dcterms:modified xsi:type="dcterms:W3CDTF">2023-03-17T06:19:26Z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1D093A08F53944D6B0FBB68B35DC1E63</vt:lpwstr>
  </property>
</Properties>
</file>